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TRUST RECORDS RETENTION CHECKLIST</w:t>
      </w:r>
    </w:p>
    <w:p>
      <w:pPr>
        <w:jc w:val="center"/>
      </w:pPr>
      <w:r>
        <w:t>What to keep, for how long, and where - work through one section at a time</w:t>
      </w:r>
    </w:p>
    <w:p>
      <w:pPr>
        <w:pStyle w:val="Heading1"/>
      </w:pPr>
      <w:r>
        <w:t>1. Documents to keep for the life of the trust</w:t>
      </w:r>
    </w:p>
    <w:p>
      <w:pPr>
        <w:pStyle w:val="ListBullet"/>
      </w:pPr>
      <w:r>
        <w:t>The original trust agreement, and every amendment (signed, dated)</w:t>
      </w:r>
    </w:p>
    <w:p>
      <w:pPr>
        <w:pStyle w:val="ListBullet"/>
      </w:pPr>
      <w:r>
        <w:t>Certification of trust, updated after each amendment</w:t>
      </w:r>
    </w:p>
    <w:p>
      <w:pPr>
        <w:pStyle w:val="ListBullet"/>
      </w:pPr>
      <w:r>
        <w:t>Deeds, titles, and account statements showing how each asset was titled and funded</w:t>
      </w:r>
    </w:p>
    <w:p>
      <w:pPr>
        <w:pStyle w:val="ListBullet"/>
      </w:pPr>
      <w:r>
        <w:t>Trustee appointment, resignation, and removal records</w:t>
      </w:r>
    </w:p>
    <w:p>
      <w:pPr>
        <w:pStyle w:val="ListBullet"/>
      </w:pPr>
      <w:r>
        <w:t>Successor trustee designation documents</w:t>
      </w:r>
    </w:p>
    <w:p>
      <w:pPr>
        <w:pStyle w:val="Heading1"/>
      </w:pPr>
      <w:r>
        <w:t>2. Annual records to keep (most states: trust duration + 3 to 7 years)</w:t>
      </w:r>
    </w:p>
    <w:p>
      <w:pPr>
        <w:pStyle w:val="ListBullet"/>
      </w:pPr>
      <w:r>
        <w:t>Meeting minutes or written consents for every trustee decision</w:t>
      </w:r>
    </w:p>
    <w:p>
      <w:pPr>
        <w:pStyle w:val="ListBullet"/>
      </w:pPr>
      <w:r>
        <w:t>Account statements for every trust account (each year)</w:t>
      </w:r>
    </w:p>
    <w:p>
      <w:pPr>
        <w:pStyle w:val="ListBullet"/>
      </w:pPr>
      <w:r>
        <w:t>The annual accounting given to beneficiaries, plus any waivers</w:t>
      </w:r>
    </w:p>
    <w:p>
      <w:pPr>
        <w:pStyle w:val="ListBullet"/>
      </w:pPr>
      <w:r>
        <w:t>Tax returns (Form 1041 or grantor trust letters) and K-1s</w:t>
      </w:r>
    </w:p>
    <w:p>
      <w:pPr>
        <w:pStyle w:val="ListBullet"/>
      </w:pPr>
      <w:r>
        <w:t>Distribution records: amount, date, recipient, and the resolution that authorized it</w:t>
      </w:r>
    </w:p>
    <w:p>
      <w:pPr>
        <w:pStyle w:val="ListBullet"/>
      </w:pPr>
      <w:r>
        <w:t>Beneficiary notices sent under UTC § 813 or your state's equivalent</w:t>
      </w:r>
    </w:p>
    <w:p>
      <w:pPr>
        <w:pStyle w:val="ListBullet"/>
      </w:pPr>
      <w:r>
        <w:t>Investment review notes showing the prudent-investor standard was applied</w:t>
      </w:r>
    </w:p>
    <w:p>
      <w:pPr>
        <w:pStyle w:val="Heading1"/>
      </w:pPr>
      <w:r>
        <w:t>3. State retention windows (confirm your state before discarding anything)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State</w:t>
            </w:r>
          </w:p>
        </w:tc>
        <w:tc>
          <w:tcPr>
            <w:tcW w:type="dxa" w:w="2880"/>
          </w:tcPr>
          <w:p>
            <w:r>
              <w:t>Retention window</w:t>
            </w:r>
          </w:p>
        </w:tc>
        <w:tc>
          <w:tcPr>
            <w:tcW w:type="dxa" w:w="2880"/>
          </w:tcPr>
          <w:p>
            <w:r>
              <w:t>Notes</w:t>
            </w:r>
          </w:p>
        </w:tc>
      </w:tr>
      <w:tr>
        <w:tc>
          <w:tcPr>
            <w:tcW w:type="dxa" w:w="2880"/>
          </w:tcPr>
          <w:p>
            <w:r>
              <w:t>California</w:t>
            </w:r>
          </w:p>
        </w:tc>
        <w:tc>
          <w:tcPr>
            <w:tcW w:type="dxa" w:w="2880"/>
          </w:tcPr>
          <w:p>
            <w:r>
              <w:t>Trust duration + 7 years</w:t>
            </w:r>
          </w:p>
        </w:tc>
        <w:tc>
          <w:tcPr>
            <w:tcW w:type="dxa" w:w="2880"/>
          </w:tcPr>
          <w:p>
            <w:r>
              <w:t>Prob. Code § 16061 et seq.; 7-year accounting retention</w:t>
            </w:r>
          </w:p>
        </w:tc>
      </w:tr>
      <w:tr>
        <w:tc>
          <w:tcPr>
            <w:tcW w:type="dxa" w:w="2880"/>
          </w:tcPr>
          <w:p>
            <w:r>
              <w:t>Florida</w:t>
            </w:r>
          </w:p>
        </w:tc>
        <w:tc>
          <w:tcPr>
            <w:tcW w:type="dxa" w:w="2880"/>
          </w:tcPr>
          <w:p>
            <w:r>
              <w:t>Trust duration + 5 years</w:t>
            </w:r>
          </w:p>
        </w:tc>
        <w:tc>
          <w:tcPr>
            <w:tcW w:type="dxa" w:w="2880"/>
          </w:tcPr>
          <w:p>
            <w:r>
              <w:t>Fla. Stat. § 736.0101 et seq.; 5 years for accounting records</w:t>
            </w:r>
          </w:p>
        </w:tc>
      </w:tr>
      <w:tr>
        <w:tc>
          <w:tcPr>
            <w:tcW w:type="dxa" w:w="2880"/>
          </w:tcPr>
          <w:p>
            <w:r>
              <w:t>Texas</w:t>
            </w:r>
          </w:p>
        </w:tc>
        <w:tc>
          <w:tcPr>
            <w:tcW w:type="dxa" w:w="2880"/>
          </w:tcPr>
          <w:p>
            <w:r>
              <w:t>Trust duration + 4 years</w:t>
            </w:r>
          </w:p>
        </w:tc>
        <w:tc>
          <w:tcPr>
            <w:tcW w:type="dxa" w:w="2880"/>
          </w:tcPr>
          <w:p>
            <w:r>
              <w:t>Prop. Code § 114.001 et seq.; 4-year fiduciary limitations period</w:t>
            </w:r>
          </w:p>
        </w:tc>
      </w:tr>
      <w:tr>
        <w:tc>
          <w:tcPr>
            <w:tcW w:type="dxa" w:w="2880"/>
          </w:tcPr>
          <w:p>
            <w:r>
              <w:t>New York</w:t>
            </w:r>
          </w:p>
        </w:tc>
        <w:tc>
          <w:tcPr>
            <w:tcW w:type="dxa" w:w="2880"/>
          </w:tcPr>
          <w:p>
            <w:r>
              <w:t>Trust duration + 6 years</w:t>
            </w:r>
          </w:p>
        </w:tc>
        <w:tc>
          <w:tcPr>
            <w:tcW w:type="dxa" w:w="2880"/>
          </w:tcPr>
          <w:p>
            <w:r>
              <w:t>EPTL § 11-1.1 et seq.; 6-year limitations period</w:t>
            </w:r>
          </w:p>
        </w:tc>
      </w:tr>
      <w:tr>
        <w:tc>
          <w:tcPr>
            <w:tcW w:type="dxa" w:w="2880"/>
          </w:tcPr>
          <w:p>
            <w:r>
              <w:t>Illinois</w:t>
            </w:r>
          </w:p>
        </w:tc>
        <w:tc>
          <w:tcPr>
            <w:tcW w:type="dxa" w:w="2880"/>
          </w:tcPr>
          <w:p>
            <w:r>
              <w:t>Trust duration + 5 years</w:t>
            </w:r>
          </w:p>
        </w:tc>
        <w:tc>
          <w:tcPr>
            <w:tcW w:type="dxa" w:w="2880"/>
          </w:tcPr>
          <w:p>
            <w:r>
              <w:t>760 ILCS 3/708; court may adjust for unusual duties</w:t>
            </w:r>
          </w:p>
        </w:tc>
      </w:tr>
      <w:tr>
        <w:tc>
          <w:tcPr>
            <w:tcW w:type="dxa" w:w="2880"/>
          </w:tcPr>
          <w:p>
            <w:r>
              <w:t>Colorado</w:t>
            </w:r>
          </w:p>
        </w:tc>
        <w:tc>
          <w:tcPr>
            <w:tcW w:type="dxa" w:w="2880"/>
          </w:tcPr>
          <w:p>
            <w:r>
              <w:t>Trust duration + 3 years</w:t>
            </w:r>
          </w:p>
        </w:tc>
        <w:tc>
          <w:tcPr>
            <w:tcW w:type="dxa" w:w="2880"/>
          </w:tcPr>
          <w:p>
            <w:r>
              <w:t>Colo. Rev. Stat. § 15-5-1001; 3-year minimum after termination</w:t>
            </w:r>
          </w:p>
        </w:tc>
      </w:tr>
    </w:tbl>
    <w:p/>
    <w:p>
      <w:r>
        <w:rPr>
          <w:i/>
        </w:rPr>
        <w:t>The window usually runs from trust termination, not from the year each record was created - so in practice, keep everything until the trust ends plus the state window. When a trust terminates, send beneficiaries the final accounting and keep the termination records for the full window.</w:t>
      </w:r>
    </w:p>
    <w:p>
      <w:pPr>
        <w:pStyle w:val="Heading1"/>
      </w:pPr>
      <w:r>
        <w:t>4. Storage checklist</w:t>
      </w:r>
    </w:p>
    <w:p>
      <w:pPr>
        <w:pStyle w:val="ListBullet"/>
      </w:pPr>
      <w:r>
        <w:t>One secure location named in the minutes as the official records home</w:t>
      </w:r>
    </w:p>
    <w:p>
      <w:pPr>
        <w:pStyle w:val="ListBullet"/>
      </w:pPr>
      <w:r>
        <w:t>One off-site or cloud backup, tested at least yearly</w:t>
      </w:r>
    </w:p>
    <w:p>
      <w:pPr>
        <w:pStyle w:val="ListBullet"/>
      </w:pPr>
      <w:r>
        <w:t>Access list: who can reach the records (trustees, successor trustees, attorney)</w:t>
      </w:r>
    </w:p>
    <w:p>
      <w:pPr>
        <w:pStyle w:val="ListBullet"/>
      </w:pPr>
      <w:r>
        <w:t>Digital copies scanned and readable (test a random file after scanning batches)</w:t>
      </w:r>
    </w:p>
    <w:p>
      <w:pPr>
        <w:pStyle w:val="ListBullet"/>
      </w:pPr>
      <w:r>
        <w:t>A simple index: document, date stored, location, destruction date (if any)</w:t>
      </w:r>
    </w:p>
    <w:p>
      <w:pPr>
        <w:pStyle w:val="Heading1"/>
      </w:pPr>
      <w:r>
        <w:t>5. Before destroying any record</w:t>
      </w:r>
    </w:p>
    <w:p>
      <w:pPr>
        <w:pStyle w:val="ListBullet"/>
      </w:pPr>
      <w:r>
        <w:t>Confirm the trust has terminated and the state window has fully run</w:t>
      </w:r>
    </w:p>
    <w:p>
      <w:pPr>
        <w:pStyle w:val="ListBullet"/>
      </w:pPr>
      <w:r>
        <w:t>Check for open audits, disputes, or claims that pause the window</w:t>
      </w:r>
    </w:p>
    <w:p>
      <w:pPr>
        <w:pStyle w:val="ListBullet"/>
      </w:pPr>
      <w:r>
        <w:t>Get written sign-off from all current trustees</w:t>
      </w:r>
    </w:p>
    <w:p>
      <w:pPr>
        <w:pStyle w:val="ListBullet"/>
      </w:pPr>
      <w:r>
        <w:t>Destroy permanently; do not leave partial archives</w:t>
      </w:r>
    </w:p>
    <w:p>
      <w:r>
        <w:rPr>
          <w:i/>
          <w:sz w:val="18"/>
        </w:rPr>
        <w:t>This checklist is a general example for educational purposes. It is not legal advice. Retention periods vary by state and the governing trust document always controls.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